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C399" w14:textId="77777777" w:rsidR="00AF3670" w:rsidRDefault="00985E25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Fair Work First Statement and Declaration</w:t>
      </w:r>
    </w:p>
    <w:p w14:paraId="6FB297AD" w14:textId="77777777" w:rsidR="00AF3670" w:rsidRDefault="00AF3670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171B28C" w14:textId="77777777" w:rsidR="00AF3670" w:rsidRDefault="00985E25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Statement: </w:t>
      </w:r>
    </w:p>
    <w:p w14:paraId="71DB7182" w14:textId="77777777" w:rsidR="00AF3670" w:rsidRDefault="00985E25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Skye and Lochalsh Community Care Forum (SLCCF) is committed to advancing the Scottish Government </w:t>
      </w:r>
      <w:hyperlink r:id="rId7" w:history="1">
        <w:r>
          <w:rPr>
            <w:rStyle w:val="Hyperlink0"/>
          </w:rPr>
          <w:t>Fair Work First Policy</w:t>
        </w:r>
      </w:hyperlink>
      <w:r>
        <w:rPr>
          <w:rFonts w:ascii="Arial" w:hAnsi="Arial"/>
          <w:sz w:val="24"/>
          <w:szCs w:val="24"/>
        </w:rPr>
        <w:t xml:space="preserve"> and the criteria as set out within the </w:t>
      </w:r>
      <w:hyperlink r:id="rId8" w:history="1">
        <w:r>
          <w:rPr>
            <w:rStyle w:val="Hyperlink0"/>
          </w:rPr>
          <w:t>Fair Work First</w:t>
        </w:r>
        <w:r>
          <w:rPr>
            <w:rStyle w:val="Hyperlink0"/>
          </w:rPr>
          <w:t xml:space="preserve"> guidance</w:t>
        </w:r>
      </w:hyperlink>
      <w:r>
        <w:rPr>
          <w:rStyle w:val="Hyperlink0"/>
        </w:rPr>
        <w:t xml:space="preserve"> </w:t>
      </w:r>
      <w:r>
        <w:rPr>
          <w:rFonts w:ascii="Arial" w:hAnsi="Arial"/>
          <w:sz w:val="24"/>
          <w:szCs w:val="24"/>
        </w:rPr>
        <w:t>document.  We confirm that we pay our staff the Real Living Wage and/or will do so if we employ people in the future.  We make every effort to ensure that our suppliers/contractors are offered the same Real Living Wage rate when procuring good</w:t>
      </w:r>
      <w:r>
        <w:rPr>
          <w:rFonts w:ascii="Arial" w:hAnsi="Arial"/>
          <w:sz w:val="24"/>
          <w:szCs w:val="24"/>
        </w:rPr>
        <w:t xml:space="preserve">s or services.  We also confirm that we offer our staff and/or volunteers an Effective Workers Voice channel within the workplace.  </w:t>
      </w:r>
    </w:p>
    <w:p w14:paraId="0A9E8177" w14:textId="77777777" w:rsidR="00AF3670" w:rsidRDefault="00985E25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We employ five members of staff and have twelve volunteers.</w:t>
      </w:r>
    </w:p>
    <w:p w14:paraId="7DD961CE" w14:textId="77777777" w:rsidR="00AF3670" w:rsidRDefault="00985E25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Specifically</w:t>
      </w:r>
      <w:r>
        <w:rPr>
          <w:rFonts w:ascii="Arial" w:hAnsi="Arial"/>
          <w:b/>
          <w:bCs/>
          <w:sz w:val="24"/>
          <w:szCs w:val="24"/>
        </w:rPr>
        <w:t>:</w:t>
      </w:r>
    </w:p>
    <w:p w14:paraId="178A2927" w14:textId="77777777" w:rsidR="00AF3670" w:rsidRDefault="00985E2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have appropriate channels for effective voice </w:t>
      </w:r>
      <w:r>
        <w:rPr>
          <w:rFonts w:ascii="Arial" w:hAnsi="Arial"/>
          <w:sz w:val="24"/>
          <w:szCs w:val="24"/>
        </w:rPr>
        <w:t xml:space="preserve">from the workforce and/or </w:t>
      </w:r>
      <w:proofErr w:type="gramStart"/>
      <w:r>
        <w:rPr>
          <w:rFonts w:ascii="Arial" w:hAnsi="Arial"/>
          <w:sz w:val="24"/>
          <w:szCs w:val="24"/>
        </w:rPr>
        <w:t>volunteers;</w:t>
      </w:r>
      <w:proofErr w:type="gramEnd"/>
    </w:p>
    <w:p w14:paraId="2A5986D3" w14:textId="77777777" w:rsidR="00AF3670" w:rsidRDefault="00985E25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Fortnightly full team staff meetings, open also to Trustees for exchange of feedback and suggestions: Employment Sub-Committee of Trustees to review and respond to employee requests, suggestions or grievances, includin</w:t>
      </w:r>
      <w:r>
        <w:rPr>
          <w:rFonts w:ascii="Arial" w:hAnsi="Arial"/>
          <w:sz w:val="24"/>
          <w:szCs w:val="24"/>
        </w:rPr>
        <w:t>g flexible working requests, flexibility with holiday periods etc. : full team days with staff, trustees and volunteers : Staff Welfare Trustee(s) for any staff member to raise concerns: Manager Open Door policy for staff to raise concerns: voluntary union</w:t>
      </w:r>
      <w:r>
        <w:rPr>
          <w:rFonts w:ascii="Arial" w:hAnsi="Arial"/>
          <w:sz w:val="24"/>
          <w:szCs w:val="24"/>
        </w:rPr>
        <w:t xml:space="preserve"> membership for staff if they wish</w:t>
      </w:r>
    </w:p>
    <w:p w14:paraId="47961555" w14:textId="77777777" w:rsidR="00AF3670" w:rsidRDefault="00AF3670">
      <w:pPr>
        <w:pStyle w:val="Body"/>
        <w:spacing w:after="0"/>
        <w:rPr>
          <w:rFonts w:ascii="Arial" w:eastAsia="Arial" w:hAnsi="Arial" w:cs="Arial"/>
          <w:color w:val="FF0000"/>
          <w:sz w:val="24"/>
          <w:szCs w:val="24"/>
          <w:u w:color="FF0000"/>
        </w:rPr>
      </w:pPr>
    </w:p>
    <w:p w14:paraId="63BD3F0F" w14:textId="77777777" w:rsidR="00AF3670" w:rsidRDefault="00985E25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following points satisfy the self-declaration requirements for compliance with the effective voice criteria.  If the answer to question 1a is no, further evidence of compliance will be required.  Question 1b is only </w:t>
      </w:r>
      <w:r>
        <w:rPr>
          <w:rFonts w:ascii="Arial" w:hAnsi="Arial"/>
          <w:sz w:val="24"/>
          <w:szCs w:val="24"/>
        </w:rPr>
        <w:t xml:space="preserve">applicable where the </w:t>
      </w:r>
      <w:proofErr w:type="spellStart"/>
      <w:r>
        <w:rPr>
          <w:rFonts w:ascii="Arial" w:hAnsi="Arial"/>
          <w:sz w:val="24"/>
          <w:szCs w:val="24"/>
        </w:rPr>
        <w:t>organisation</w:t>
      </w:r>
      <w:proofErr w:type="spellEnd"/>
      <w:r>
        <w:rPr>
          <w:rFonts w:ascii="Arial" w:hAnsi="Arial"/>
          <w:sz w:val="24"/>
          <w:szCs w:val="24"/>
        </w:rPr>
        <w:t xml:space="preserve"> employs more than 21 staff.  If the answer is no, further evidence of compliance will be required.  Please confirm the following: </w:t>
      </w:r>
    </w:p>
    <w:p w14:paraId="6E2912D7" w14:textId="77777777" w:rsidR="00AF3670" w:rsidRDefault="00AF3670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</w:p>
    <w:p w14:paraId="38C4ADA1" w14:textId="77777777" w:rsidR="00AF3670" w:rsidRDefault="00985E25">
      <w:pPr>
        <w:pStyle w:val="Body"/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(1a)</w:t>
      </w:r>
      <w:r>
        <w:rPr>
          <w:rFonts w:ascii="Arial" w:hAnsi="Arial"/>
          <w:sz w:val="24"/>
          <w:szCs w:val="24"/>
        </w:rPr>
        <w:t xml:space="preserve"> SLCCF will provide effective one to one line management for any employee or volunteer</w:t>
      </w:r>
      <w:r>
        <w:rPr>
          <w:rFonts w:ascii="Arial" w:hAnsi="Arial"/>
          <w:sz w:val="24"/>
          <w:szCs w:val="24"/>
        </w:rPr>
        <w:t xml:space="preserve"> ensuring regular open and two-way dialogue; that this exists separately to performance management processes; and that worker/manager working relationships are effective. </w:t>
      </w:r>
    </w:p>
    <w:p w14:paraId="6C45C623" w14:textId="77777777" w:rsidR="00AF3670" w:rsidRDefault="00985E25">
      <w:pPr>
        <w:pStyle w:val="Body"/>
        <w:spacing w:after="0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 xml:space="preserve">Yes  </w:t>
      </w:r>
      <w:r>
        <w:rPr>
          <w:rFonts w:ascii="MS Gothic" w:eastAsia="MS Gothic" w:hAnsi="MS Gothic" w:cs="MS Gothic"/>
          <w:sz w:val="24"/>
          <w:szCs w:val="24"/>
        </w:rPr>
        <w:t>☒</w:t>
      </w:r>
      <w:proofErr w:type="gramEnd"/>
      <w:r>
        <w:rPr>
          <w:rFonts w:ascii="Arial" w:hAnsi="Arial"/>
          <w:sz w:val="24"/>
          <w:szCs w:val="24"/>
          <w:lang w:val="de-DE"/>
        </w:rPr>
        <w:t xml:space="preserve">    No 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 </w:t>
      </w:r>
    </w:p>
    <w:p w14:paraId="4BCF25F3" w14:textId="77777777" w:rsidR="00AF3670" w:rsidRDefault="00AF3670">
      <w:pPr>
        <w:pStyle w:val="Body"/>
        <w:spacing w:after="0"/>
        <w:ind w:firstLine="720"/>
        <w:rPr>
          <w:rFonts w:ascii="Arial" w:eastAsia="Arial" w:hAnsi="Arial" w:cs="Arial"/>
          <w:color w:val="FF0000"/>
          <w:sz w:val="24"/>
          <w:szCs w:val="24"/>
          <w:u w:color="FF0000"/>
        </w:rPr>
      </w:pPr>
    </w:p>
    <w:p w14:paraId="64EFB138" w14:textId="77777777" w:rsidR="00AF3670" w:rsidRDefault="00985E25">
      <w:pPr>
        <w:pStyle w:val="Body"/>
        <w:spacing w:after="0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(1b)</w:t>
      </w:r>
      <w:r>
        <w:rPr>
          <w:rFonts w:ascii="Arial" w:hAnsi="Arial"/>
          <w:sz w:val="24"/>
          <w:szCs w:val="24"/>
        </w:rPr>
        <w:t xml:space="preserve"> SLCCF will ensure that as part of their induction, employees will be made aware of their right to join a union of their choice and will take a pro-union membership attitude.    </w:t>
      </w:r>
    </w:p>
    <w:p w14:paraId="5A6E984B" w14:textId="77777777" w:rsidR="00AF3670" w:rsidRDefault="00985E25">
      <w:pPr>
        <w:pStyle w:val="Body"/>
        <w:spacing w:after="0"/>
        <w:ind w:firstLine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 xml:space="preserve">Yes  </w:t>
      </w:r>
      <w:r>
        <w:rPr>
          <w:rFonts w:ascii="MS Gothic" w:eastAsia="MS Gothic" w:hAnsi="MS Gothic" w:cs="MS Gothic"/>
          <w:sz w:val="24"/>
          <w:szCs w:val="24"/>
        </w:rPr>
        <w:t>☒</w:t>
      </w:r>
      <w:proofErr w:type="gramEnd"/>
      <w:r>
        <w:rPr>
          <w:rFonts w:ascii="Arial" w:hAnsi="Arial"/>
          <w:sz w:val="24"/>
          <w:szCs w:val="24"/>
          <w:lang w:val="de-DE"/>
        </w:rPr>
        <w:t xml:space="preserve">    No 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      NA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Arial" w:hAnsi="Arial"/>
          <w:sz w:val="24"/>
          <w:szCs w:val="24"/>
        </w:rPr>
        <w:t xml:space="preserve">  </w:t>
      </w:r>
    </w:p>
    <w:p w14:paraId="5FD5651D" w14:textId="77777777" w:rsidR="00AF3670" w:rsidRDefault="00AF3670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</w:p>
    <w:p w14:paraId="1894EAA5" w14:textId="77777777" w:rsidR="00AF3670" w:rsidRDefault="00985E2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We actively invest in workforce and/or voluntee</w:t>
      </w:r>
      <w:r>
        <w:rPr>
          <w:rFonts w:ascii="Arial" w:hAnsi="Arial"/>
          <w:sz w:val="24"/>
          <w:szCs w:val="24"/>
        </w:rPr>
        <w:t xml:space="preserve">r </w:t>
      </w:r>
      <w:proofErr w:type="gramStart"/>
      <w:r>
        <w:rPr>
          <w:rFonts w:ascii="Arial" w:hAnsi="Arial"/>
          <w:sz w:val="24"/>
          <w:szCs w:val="24"/>
        </w:rPr>
        <w:t>development;</w:t>
      </w:r>
      <w:proofErr w:type="gramEnd"/>
    </w:p>
    <w:p w14:paraId="23FA7F01" w14:textId="77777777" w:rsidR="00AF3670" w:rsidRDefault="00985E25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have a dedicated training </w:t>
      </w:r>
      <w:proofErr w:type="gramStart"/>
      <w:r>
        <w:rPr>
          <w:rFonts w:ascii="Arial" w:hAnsi="Arial"/>
          <w:sz w:val="24"/>
          <w:szCs w:val="24"/>
        </w:rPr>
        <w:t>budget</w:t>
      </w:r>
      <w:proofErr w:type="gramEnd"/>
      <w:r>
        <w:rPr>
          <w:rFonts w:ascii="Arial" w:hAnsi="Arial"/>
          <w:sz w:val="24"/>
          <w:szCs w:val="24"/>
        </w:rPr>
        <w:t xml:space="preserve"> and any employee can request work related training:  employees and trustees regularly update mandatory training </w:t>
      </w:r>
      <w:r>
        <w:rPr>
          <w:rFonts w:ascii="Arial" w:hAnsi="Arial"/>
          <w:sz w:val="24"/>
          <w:szCs w:val="24"/>
        </w:rPr>
        <w:lastRenderedPageBreak/>
        <w:t>e.g. child protection training: SVQ level 3 and 4 training has been and is currently being sp</w:t>
      </w:r>
      <w:r>
        <w:rPr>
          <w:rFonts w:ascii="Arial" w:hAnsi="Arial"/>
          <w:sz w:val="24"/>
          <w:szCs w:val="24"/>
        </w:rPr>
        <w:t xml:space="preserve">onsored by the </w:t>
      </w:r>
      <w:proofErr w:type="spellStart"/>
      <w:r>
        <w:rPr>
          <w:rFonts w:ascii="Arial" w:hAnsi="Arial"/>
          <w:sz w:val="24"/>
          <w:szCs w:val="24"/>
        </w:rPr>
        <w:t>organisation</w:t>
      </w:r>
      <w:proofErr w:type="spellEnd"/>
    </w:p>
    <w:p w14:paraId="5BE712A4" w14:textId="77777777" w:rsidR="00AF3670" w:rsidRDefault="00AF3670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</w:p>
    <w:p w14:paraId="4AC31025" w14:textId="77777777" w:rsidR="00AF3670" w:rsidRDefault="00985E2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are committed to no inappropriate use of zero hours </w:t>
      </w:r>
      <w:proofErr w:type="gramStart"/>
      <w:r>
        <w:rPr>
          <w:rFonts w:ascii="Arial" w:hAnsi="Arial"/>
          <w:sz w:val="24"/>
          <w:szCs w:val="24"/>
        </w:rPr>
        <w:t>contracts;</w:t>
      </w:r>
      <w:proofErr w:type="gramEnd"/>
    </w:p>
    <w:p w14:paraId="384F2ADE" w14:textId="77777777" w:rsidR="00AF3670" w:rsidRDefault="00985E25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All our contracts are fixed term contracts tied into our funding schedules; all employees are enrolled in a pension scheme unless they wish to opt out; employees</w:t>
      </w:r>
      <w:r>
        <w:rPr>
          <w:rFonts w:ascii="Arial" w:hAnsi="Arial"/>
          <w:sz w:val="24"/>
          <w:szCs w:val="24"/>
        </w:rPr>
        <w:t xml:space="preserve"> have at least 26 days annual leave: statutory sick pay is paid</w:t>
      </w:r>
    </w:p>
    <w:p w14:paraId="502C4ECE" w14:textId="77777777" w:rsidR="00AF3670" w:rsidRDefault="00AF3670">
      <w:pPr>
        <w:pStyle w:val="Body"/>
        <w:spacing w:after="0"/>
        <w:rPr>
          <w:rFonts w:ascii="Arial" w:eastAsia="Arial" w:hAnsi="Arial" w:cs="Arial"/>
          <w:sz w:val="24"/>
          <w:szCs w:val="24"/>
        </w:rPr>
      </w:pPr>
    </w:p>
    <w:p w14:paraId="4ED80B9A" w14:textId="77777777" w:rsidR="00AF3670" w:rsidRDefault="00985E2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take action to tackle the gender pay gap and create a more diverse and inclusive </w:t>
      </w:r>
      <w:proofErr w:type="gramStart"/>
      <w:r>
        <w:rPr>
          <w:rFonts w:ascii="Arial" w:hAnsi="Arial"/>
          <w:sz w:val="24"/>
          <w:szCs w:val="24"/>
        </w:rPr>
        <w:t>workplace;</w:t>
      </w:r>
      <w:proofErr w:type="gramEnd"/>
    </w:p>
    <w:p w14:paraId="5141F9D2" w14:textId="77777777" w:rsidR="00AF3670" w:rsidRDefault="00985E25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 staff are paid based on experience and progression through training, regardless of gender.  </w:t>
      </w:r>
      <w:r>
        <w:rPr>
          <w:rFonts w:ascii="Arial" w:hAnsi="Arial"/>
          <w:sz w:val="24"/>
          <w:szCs w:val="24"/>
        </w:rPr>
        <w:t xml:space="preserve">We operate an equal opportunities policy </w:t>
      </w:r>
    </w:p>
    <w:p w14:paraId="6B19D630" w14:textId="77777777" w:rsidR="00AF3670" w:rsidRDefault="00AF3670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14:paraId="593AD4AA" w14:textId="77777777" w:rsidR="00AF3670" w:rsidRDefault="00985E2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are fully committed to paying the Real Living Wage to both our employees and ensuring our contractors also do the same. </w:t>
      </w:r>
    </w:p>
    <w:p w14:paraId="40FD66E2" w14:textId="77777777" w:rsidR="00AF3670" w:rsidRDefault="00985E25">
      <w:pPr>
        <w:pStyle w:val="ListParagraph"/>
        <w:spacing w:after="0"/>
        <w:rPr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Fonts w:ascii="Arial" w:hAnsi="Arial"/>
          <w:sz w:val="24"/>
          <w:szCs w:val="24"/>
        </w:rPr>
        <w:t>We</w:t>
      </w:r>
      <w:r>
        <w:rPr>
          <w:rFonts w:ascii="Arial" w:hAnsi="Arial"/>
          <w:color w:val="FF0000"/>
          <w:sz w:val="24"/>
          <w:szCs w:val="24"/>
          <w:u w:color="FF0000"/>
        </w:rPr>
        <w:t xml:space="preserve"> </w:t>
      </w:r>
      <w:r>
        <w:rPr>
          <w:rFonts w:ascii="Arial" w:hAnsi="Arial"/>
          <w:sz w:val="24"/>
          <w:szCs w:val="24"/>
        </w:rPr>
        <w:t>pay the Real Living Wage to all employees. We are currently discussing our approach to communication of our commitment to the Rea</w:t>
      </w:r>
      <w:r>
        <w:rPr>
          <w:rFonts w:ascii="Arial" w:hAnsi="Arial"/>
          <w:sz w:val="24"/>
          <w:szCs w:val="24"/>
        </w:rPr>
        <w:t xml:space="preserve">l Living Wage to those businesses and </w:t>
      </w:r>
      <w:proofErr w:type="spellStart"/>
      <w:r>
        <w:rPr>
          <w:rFonts w:ascii="Arial" w:hAnsi="Arial"/>
          <w:sz w:val="24"/>
          <w:szCs w:val="24"/>
        </w:rPr>
        <w:t>organisations</w:t>
      </w:r>
      <w:proofErr w:type="spellEnd"/>
      <w:r>
        <w:rPr>
          <w:rFonts w:ascii="Arial" w:hAnsi="Arial"/>
          <w:sz w:val="24"/>
          <w:szCs w:val="24"/>
        </w:rPr>
        <w:t xml:space="preserve"> with whom we interact.  </w:t>
      </w:r>
    </w:p>
    <w:p w14:paraId="5460BFDF" w14:textId="77777777" w:rsidR="00AF3670" w:rsidRDefault="00AF3670">
      <w:pPr>
        <w:pStyle w:val="Body"/>
        <w:rPr>
          <w:rFonts w:ascii="Arial" w:eastAsia="Arial" w:hAnsi="Arial" w:cs="Arial"/>
          <w:sz w:val="24"/>
          <w:szCs w:val="24"/>
        </w:rPr>
      </w:pPr>
    </w:p>
    <w:p w14:paraId="1EADAAB3" w14:textId="77777777" w:rsidR="00AF3670" w:rsidRDefault="00985E25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statement has been agreed by both the employer and a suitable workforce representative for our employees and/or volunteers: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73"/>
        <w:gridCol w:w="6047"/>
      </w:tblGrid>
      <w:tr w:rsidR="00AF3670" w14:paraId="28B5BA91" w14:textId="77777777">
        <w:trPr>
          <w:trHeight w:val="64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A62F5" w14:textId="77777777" w:rsidR="00AF3670" w:rsidRDefault="00985E25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Signature (for the employer):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00E1" w14:textId="0B0FF4F0" w:rsidR="00AF3670" w:rsidRDefault="008F7E5A">
            <w:r>
              <w:t>Signatures and details removed for data protection</w:t>
            </w:r>
          </w:p>
        </w:tc>
      </w:tr>
      <w:tr w:rsidR="00AF3670" w14:paraId="510CE62F" w14:textId="77777777">
        <w:trPr>
          <w:trHeight w:val="28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05D8" w14:textId="77777777" w:rsidR="00AF3670" w:rsidRDefault="00985E25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Print name: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2002" w14:textId="77777777" w:rsidR="00AF3670" w:rsidRDefault="00AF3670"/>
        </w:tc>
      </w:tr>
      <w:tr w:rsidR="00AF3670" w14:paraId="3A2403E4" w14:textId="77777777">
        <w:trPr>
          <w:trHeight w:val="56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83D8" w14:textId="77777777" w:rsidR="00AF3670" w:rsidRDefault="00985E25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Position within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9EF74" w14:textId="77777777" w:rsidR="00AF3670" w:rsidRDefault="00AF3670"/>
        </w:tc>
      </w:tr>
      <w:tr w:rsidR="00AF3670" w14:paraId="5958407E" w14:textId="77777777">
        <w:trPr>
          <w:trHeight w:val="28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1800" w14:textId="77777777" w:rsidR="00AF3670" w:rsidRDefault="00985E25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36721" w14:textId="77777777" w:rsidR="00AF3670" w:rsidRDefault="00AF3670"/>
        </w:tc>
      </w:tr>
    </w:tbl>
    <w:p w14:paraId="29AF0402" w14:textId="77777777" w:rsidR="00AF3670" w:rsidRDefault="00AF3670">
      <w:pPr>
        <w:pStyle w:val="Body"/>
        <w:widowControl w:val="0"/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A397939" w14:textId="77777777" w:rsidR="00AF3670" w:rsidRDefault="00AF3670">
      <w:pPr>
        <w:pStyle w:val="Body"/>
        <w:rPr>
          <w:rFonts w:ascii="Arial" w:eastAsia="Arial" w:hAnsi="Arial" w:cs="Arial"/>
          <w:sz w:val="24"/>
          <w:szCs w:val="24"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73"/>
        <w:gridCol w:w="6047"/>
      </w:tblGrid>
      <w:tr w:rsidR="00AF3670" w14:paraId="6FEA1E33" w14:textId="77777777">
        <w:trPr>
          <w:trHeight w:val="646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57E6" w14:textId="77777777" w:rsidR="00AF3670" w:rsidRDefault="00985E25">
            <w:pPr>
              <w:pStyle w:val="Body"/>
            </w:pPr>
            <w:r>
              <w:rPr>
                <w:rFonts w:ascii="Arial" w:hAnsi="Arial"/>
                <w:sz w:val="24"/>
                <w:szCs w:val="24"/>
              </w:rPr>
              <w:t>Signature (as workforce representative):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E461" w14:textId="77777777" w:rsidR="00AF3670" w:rsidRDefault="00AF3670"/>
        </w:tc>
      </w:tr>
      <w:tr w:rsidR="00AF3670" w14:paraId="0F51AB6B" w14:textId="77777777">
        <w:trPr>
          <w:trHeight w:val="28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76E1" w14:textId="77777777" w:rsidR="00AF3670" w:rsidRDefault="00985E25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Print name: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3C08" w14:textId="77777777" w:rsidR="00AF3670" w:rsidRDefault="00AF3670"/>
        </w:tc>
      </w:tr>
      <w:tr w:rsidR="00AF3670" w14:paraId="622F24A8" w14:textId="77777777">
        <w:trPr>
          <w:trHeight w:val="56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D74D" w14:textId="77777777" w:rsidR="00AF3670" w:rsidRDefault="00985E25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Position within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organisation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7DFD" w14:textId="77777777" w:rsidR="00AF3670" w:rsidRDefault="00AF3670"/>
        </w:tc>
      </w:tr>
      <w:tr w:rsidR="00AF3670" w14:paraId="1A1D4574" w14:textId="77777777">
        <w:trPr>
          <w:trHeight w:val="282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2164" w14:textId="77777777" w:rsidR="00AF3670" w:rsidRDefault="00985E25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C36E" w14:textId="77777777" w:rsidR="00AF3670" w:rsidRDefault="00AF3670"/>
        </w:tc>
      </w:tr>
    </w:tbl>
    <w:p w14:paraId="6FFE3B98" w14:textId="77777777" w:rsidR="00AF3670" w:rsidRDefault="00AF3670">
      <w:pPr>
        <w:pStyle w:val="Body"/>
        <w:widowControl w:val="0"/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74128DD" w14:textId="77777777" w:rsidR="00AF3670" w:rsidRDefault="00AF3670">
      <w:pPr>
        <w:pStyle w:val="Body"/>
      </w:pPr>
    </w:p>
    <w:p w14:paraId="69C95676" w14:textId="77777777" w:rsidR="00AF3670" w:rsidRDefault="00AF3670">
      <w:pPr>
        <w:pStyle w:val="Body"/>
      </w:pPr>
    </w:p>
    <w:sectPr w:rsidR="00AF3670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ED2E" w14:textId="77777777" w:rsidR="00985E25" w:rsidRDefault="00985E25">
      <w:r>
        <w:separator/>
      </w:r>
    </w:p>
  </w:endnote>
  <w:endnote w:type="continuationSeparator" w:id="0">
    <w:p w14:paraId="32747E0C" w14:textId="77777777" w:rsidR="00985E25" w:rsidRDefault="0098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5193" w14:textId="77777777" w:rsidR="00AF3670" w:rsidRDefault="00AF36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81C9" w14:textId="77777777" w:rsidR="00985E25" w:rsidRDefault="00985E25">
      <w:r>
        <w:separator/>
      </w:r>
    </w:p>
  </w:footnote>
  <w:footnote w:type="continuationSeparator" w:id="0">
    <w:p w14:paraId="5503056C" w14:textId="77777777" w:rsidR="00985E25" w:rsidRDefault="0098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6BFF" w14:textId="77777777" w:rsidR="00AF3670" w:rsidRDefault="00AF367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742C"/>
    <w:multiLevelType w:val="hybridMultilevel"/>
    <w:tmpl w:val="FA66E740"/>
    <w:styleLink w:val="ImportedStyle1"/>
    <w:lvl w:ilvl="0" w:tplc="492A55A4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8C27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ADA5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CD8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E7E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9AC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1EDD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7493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D6413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860E18"/>
    <w:multiLevelType w:val="hybridMultilevel"/>
    <w:tmpl w:val="FA66E74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70"/>
    <w:rsid w:val="008F7E5A"/>
    <w:rsid w:val="00985E25"/>
    <w:rsid w:val="00A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A91D"/>
  <w15:docId w15:val="{02C4EA12-A4D0-4C6F-A2DB-01EA6BF2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24"/>
      <w:szCs w:val="24"/>
      <w:u w:val="single" w:color="0000FF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and.gov.uk/downloads/file/27358/fair_work_first_summary_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cot/publications/fair-work-first-guidance-2/pages/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Grant Mackay | Young Carers</cp:lastModifiedBy>
  <cp:revision>2</cp:revision>
  <dcterms:created xsi:type="dcterms:W3CDTF">2024-01-26T10:20:00Z</dcterms:created>
  <dcterms:modified xsi:type="dcterms:W3CDTF">2024-01-26T10:20:00Z</dcterms:modified>
</cp:coreProperties>
</file>